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560"/>
        <w:gridCol w:w="5811"/>
        <w:gridCol w:w="1123"/>
      </w:tblGrid>
      <w:tr w:rsidR="003A369F" w:rsidTr="00BD2090">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BD2090">
        <w:tc>
          <w:tcPr>
            <w:tcW w:w="7371" w:type="dxa"/>
            <w:gridSpan w:val="2"/>
            <w:tcBorders>
              <w:top w:val="single" w:sz="4" w:space="0" w:color="auto"/>
            </w:tcBorders>
          </w:tcPr>
          <w:p w:rsidR="002726C7" w:rsidRPr="003A369F" w:rsidRDefault="007579F8" w:rsidP="00316FE4">
            <w:pPr>
              <w:rPr>
                <w:u w:val="single"/>
              </w:rPr>
            </w:pPr>
            <w:r w:rsidRPr="001D7F79">
              <w:rPr>
                <w:b/>
                <w:u w:val="single"/>
              </w:rPr>
              <w:t>MATERIA</w:t>
            </w:r>
            <w:r>
              <w:t xml:space="preserve">: </w:t>
            </w:r>
            <w:r w:rsidR="00316FE4">
              <w:t xml:space="preserve">DERECHO FINANCIERO Y TRIBUTARIO </w:t>
            </w:r>
          </w:p>
        </w:tc>
        <w:tc>
          <w:tcPr>
            <w:tcW w:w="1123" w:type="dxa"/>
          </w:tcPr>
          <w:p w:rsidR="000E70D1" w:rsidRDefault="000E70D1">
            <w:bookmarkStart w:id="0" w:name="_GoBack"/>
            <w:bookmarkEnd w:id="0"/>
          </w:p>
        </w:tc>
      </w:tr>
      <w:tr w:rsidR="003A369F" w:rsidTr="00BD2090">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3A369F" w:rsidRDefault="001D7F79" w:rsidP="00BD2090">
            <w:pPr>
              <w:jc w:val="both"/>
            </w:pPr>
            <w:r>
              <w:t xml:space="preserve">Experto en </w:t>
            </w:r>
            <w:r w:rsidR="00316FE4" w:rsidRPr="00BD2090">
              <w:rPr>
                <w:b/>
              </w:rPr>
              <w:t>Derecho Tributario y protección de datos de carácter personal en la Administración Pública.</w:t>
            </w:r>
          </w:p>
          <w:p w:rsidR="00BD2090" w:rsidRPr="00BD2090" w:rsidRDefault="001D7F79" w:rsidP="00BD2090">
            <w:pPr>
              <w:jc w:val="both"/>
            </w:pPr>
            <w:r>
              <w:t>Experiencia investigadora</w:t>
            </w:r>
            <w:r w:rsidR="00BD2090">
              <w:t>. Investigador desde el año 2013, s</w:t>
            </w:r>
            <w:r w:rsidR="00BD2090" w:rsidRPr="00BD2090">
              <w:t xml:space="preserve">u principal línea de investigación versa sobre la protección de los datos personales de los obligados tributarios. Aunque también desarrolla otras líneas de investigación como las implicaciones de la normativa sobre transparencia en la Administración tributaria y el estudio de la conducta de los obligados tributarios desde el punto de vista de la psicología social y el derecho tributario. </w:t>
            </w:r>
          </w:p>
          <w:p w:rsidR="00BD2090" w:rsidRPr="00BD2090" w:rsidRDefault="00BD2090" w:rsidP="00BD2090">
            <w:pPr>
              <w:jc w:val="both"/>
            </w:pPr>
            <w:r w:rsidRPr="00BD2090">
              <w:t>En cuanto a su producción científica, es autor de diversas monografías publicadas en la editorial Thomson Reuters Aranzadi. Además, ha publicado múltiples artículos, entre los que destacan especialmente dos trabajos en revistas de relevancia en el campo de la protección de datos indexadas en el segundo cuartil de la base de datos JCR y diversos capítulos de libro.</w:t>
            </w:r>
          </w:p>
          <w:p w:rsidR="00BD2090" w:rsidRPr="00BD2090" w:rsidRDefault="00BD2090" w:rsidP="00BD2090">
            <w:pPr>
              <w:jc w:val="both"/>
            </w:pPr>
            <w:r w:rsidRPr="00BD2090">
              <w:t>También ha realizado diversas estancias de investigación en prestigiosos centros internacionales como el </w:t>
            </w:r>
            <w:proofErr w:type="spellStart"/>
            <w:r w:rsidRPr="00BD2090">
              <w:rPr>
                <w:i/>
                <w:iCs/>
              </w:rPr>
              <w:t>Institute</w:t>
            </w:r>
            <w:proofErr w:type="spellEnd"/>
            <w:r w:rsidRPr="00BD2090">
              <w:rPr>
                <w:i/>
                <w:iCs/>
              </w:rPr>
              <w:t xml:space="preserve"> </w:t>
            </w:r>
            <w:proofErr w:type="spellStart"/>
            <w:r w:rsidRPr="00BD2090">
              <w:rPr>
                <w:i/>
                <w:iCs/>
              </w:rPr>
              <w:t>for</w:t>
            </w:r>
            <w:proofErr w:type="spellEnd"/>
            <w:r w:rsidRPr="00BD2090">
              <w:rPr>
                <w:i/>
                <w:iCs/>
              </w:rPr>
              <w:t xml:space="preserve"> </w:t>
            </w:r>
            <w:proofErr w:type="spellStart"/>
            <w:r w:rsidRPr="00BD2090">
              <w:rPr>
                <w:i/>
                <w:iCs/>
              </w:rPr>
              <w:t>Austrian</w:t>
            </w:r>
            <w:proofErr w:type="spellEnd"/>
            <w:r w:rsidRPr="00BD2090">
              <w:rPr>
                <w:i/>
                <w:iCs/>
              </w:rPr>
              <w:t xml:space="preserve"> and International </w:t>
            </w:r>
            <w:proofErr w:type="spellStart"/>
            <w:r w:rsidRPr="00BD2090">
              <w:rPr>
                <w:i/>
                <w:iCs/>
              </w:rPr>
              <w:t>Tax</w:t>
            </w:r>
            <w:proofErr w:type="spellEnd"/>
            <w:r w:rsidRPr="00BD2090">
              <w:rPr>
                <w:i/>
                <w:iCs/>
              </w:rPr>
              <w:t xml:space="preserve"> </w:t>
            </w:r>
            <w:proofErr w:type="spellStart"/>
            <w:r w:rsidRPr="00BD2090">
              <w:rPr>
                <w:i/>
                <w:iCs/>
              </w:rPr>
              <w:t>Law</w:t>
            </w:r>
            <w:proofErr w:type="spellEnd"/>
            <w:r w:rsidRPr="00BD2090">
              <w:t> (</w:t>
            </w:r>
            <w:proofErr w:type="spellStart"/>
            <w:r w:rsidRPr="00BD2090">
              <w:rPr>
                <w:i/>
                <w:iCs/>
              </w:rPr>
              <w:t>Vienna</w:t>
            </w:r>
            <w:proofErr w:type="spellEnd"/>
            <w:r w:rsidRPr="00BD2090">
              <w:rPr>
                <w:i/>
                <w:iCs/>
              </w:rPr>
              <w:t xml:space="preserve"> </w:t>
            </w:r>
            <w:proofErr w:type="spellStart"/>
            <w:r w:rsidRPr="00BD2090">
              <w:rPr>
                <w:i/>
                <w:iCs/>
              </w:rPr>
              <w:t>University</w:t>
            </w:r>
            <w:proofErr w:type="spellEnd"/>
            <w:r w:rsidRPr="00BD2090">
              <w:rPr>
                <w:i/>
                <w:iCs/>
              </w:rPr>
              <w:t xml:space="preserve"> of </w:t>
            </w:r>
            <w:proofErr w:type="spellStart"/>
            <w:r w:rsidRPr="00BD2090">
              <w:rPr>
                <w:i/>
                <w:iCs/>
              </w:rPr>
              <w:t>Economics</w:t>
            </w:r>
            <w:proofErr w:type="spellEnd"/>
            <w:r w:rsidRPr="00BD2090">
              <w:rPr>
                <w:i/>
                <w:iCs/>
              </w:rPr>
              <w:t xml:space="preserve"> and Business</w:t>
            </w:r>
            <w:r w:rsidRPr="00BD2090">
              <w:t>) [2017] y el </w:t>
            </w:r>
            <w:r w:rsidRPr="00BD2090">
              <w:rPr>
                <w:i/>
                <w:iCs/>
              </w:rPr>
              <w:t xml:space="preserve">International Bureau of Fiscal </w:t>
            </w:r>
            <w:proofErr w:type="spellStart"/>
            <w:r w:rsidRPr="00BD2090">
              <w:rPr>
                <w:i/>
                <w:iCs/>
              </w:rPr>
              <w:t>Documentation</w:t>
            </w:r>
            <w:proofErr w:type="spellEnd"/>
            <w:r w:rsidRPr="00BD2090">
              <w:t> en Ámsterdam [2015].</w:t>
            </w:r>
          </w:p>
          <w:p w:rsidR="00BD2090" w:rsidRDefault="00BD2090"/>
          <w:p w:rsidR="001D7F79" w:rsidRPr="00BD2090" w:rsidRDefault="001D7F79">
            <w:pPr>
              <w:rPr>
                <w:rFonts w:cstheme="minorHAnsi"/>
              </w:rPr>
            </w:pPr>
            <w:r w:rsidRPr="00BD2090">
              <w:rPr>
                <w:rFonts w:cstheme="minorHAnsi"/>
              </w:rPr>
              <w:t xml:space="preserve">Experiencia docente </w:t>
            </w:r>
          </w:p>
          <w:tbl>
            <w:tblPr>
              <w:tblW w:w="0" w:type="auto"/>
              <w:tblInd w:w="55" w:type="dxa"/>
              <w:tblCellMar>
                <w:left w:w="70" w:type="dxa"/>
                <w:right w:w="70" w:type="dxa"/>
              </w:tblCellMar>
              <w:tblLook w:val="04A0" w:firstRow="1" w:lastRow="0" w:firstColumn="1" w:lastColumn="0" w:noHBand="0" w:noVBand="1"/>
            </w:tblPr>
            <w:tblGrid>
              <w:gridCol w:w="3097"/>
              <w:gridCol w:w="2723"/>
              <w:gridCol w:w="833"/>
            </w:tblGrid>
            <w:tr w:rsidR="00BD2090" w:rsidRPr="00BD2090" w:rsidTr="00BD20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rPr>
                      <w:rFonts w:eastAsia="Times New Roman" w:cstheme="minorHAnsi"/>
                      <w:color w:val="000000"/>
                      <w:lang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Universidad/Empresa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Año</w:t>
                  </w:r>
                </w:p>
              </w:tc>
            </w:tr>
            <w:tr w:rsidR="00BD2090" w:rsidRPr="00BD2090" w:rsidTr="00BD209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b/>
                      <w:color w:val="000000"/>
                      <w:lang w:eastAsia="es-ES"/>
                    </w:rPr>
                  </w:pPr>
                  <w:r w:rsidRPr="00BD2090">
                    <w:rPr>
                      <w:rFonts w:eastAsia="Times New Roman" w:cstheme="minorHAnsi"/>
                      <w:b/>
                      <w:color w:val="000000"/>
                      <w:lang w:eastAsia="es-ES"/>
                    </w:rPr>
                    <w:t>Profesor asociado</w:t>
                  </w:r>
                </w:p>
                <w:p w:rsidR="00BD2090" w:rsidRPr="00BD2090" w:rsidRDefault="00BD2090" w:rsidP="00BD2090">
                  <w:pPr>
                    <w:spacing w:after="0" w:line="240" w:lineRule="auto"/>
                    <w:jc w:val="center"/>
                    <w:rPr>
                      <w:rFonts w:eastAsia="Times New Roman" w:cstheme="minorHAnsi"/>
                      <w:b/>
                      <w:color w:val="000000"/>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Universidad Miguel Hernández de Elche</w:t>
                  </w:r>
                </w:p>
              </w:tc>
              <w:tc>
                <w:tcPr>
                  <w:tcW w:w="0" w:type="auto"/>
                  <w:tcBorders>
                    <w:top w:val="nil"/>
                    <w:left w:val="nil"/>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2013-2014</w:t>
                  </w:r>
                </w:p>
              </w:tc>
            </w:tr>
            <w:tr w:rsidR="00BD2090" w:rsidRPr="00BD2090" w:rsidTr="00BD209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b/>
                      <w:color w:val="000000"/>
                      <w:lang w:eastAsia="es-ES"/>
                    </w:rPr>
                  </w:pPr>
                  <w:r w:rsidRPr="00BD2090">
                    <w:rPr>
                      <w:rFonts w:eastAsia="Times New Roman" w:cstheme="minorHAnsi"/>
                      <w:b/>
                      <w:color w:val="000000"/>
                      <w:lang w:eastAsia="es-ES"/>
                    </w:rPr>
                    <w:t>Profesor ayudante</w:t>
                  </w:r>
                </w:p>
                <w:p w:rsidR="00BD2090" w:rsidRPr="00BD2090" w:rsidRDefault="00BD2090" w:rsidP="00BD2090">
                  <w:pPr>
                    <w:spacing w:after="0" w:line="240" w:lineRule="auto"/>
                    <w:jc w:val="center"/>
                    <w:rPr>
                      <w:rFonts w:eastAsia="Times New Roman" w:cstheme="minorHAnsi"/>
                      <w:b/>
                      <w:color w:val="000000"/>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Universidad Miguel Hernández de Elche</w:t>
                  </w:r>
                </w:p>
              </w:tc>
              <w:tc>
                <w:tcPr>
                  <w:tcW w:w="0" w:type="auto"/>
                  <w:tcBorders>
                    <w:top w:val="nil"/>
                    <w:left w:val="nil"/>
                    <w:bottom w:val="single" w:sz="4" w:space="0" w:color="auto"/>
                    <w:right w:val="single" w:sz="4" w:space="0" w:color="auto"/>
                  </w:tcBorders>
                  <w:shd w:val="clear" w:color="auto" w:fill="auto"/>
                  <w:vAlign w:val="center"/>
                  <w:hideMark/>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2014-2018</w:t>
                  </w:r>
                </w:p>
              </w:tc>
            </w:tr>
            <w:tr w:rsidR="00BD2090" w:rsidRPr="00BD2090" w:rsidTr="00BD20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2090" w:rsidRPr="00BD2090" w:rsidRDefault="00BD2090" w:rsidP="00BD2090">
                  <w:pPr>
                    <w:spacing w:after="0" w:line="240" w:lineRule="auto"/>
                    <w:jc w:val="center"/>
                    <w:rPr>
                      <w:rFonts w:eastAsia="Times New Roman" w:cstheme="minorHAnsi"/>
                      <w:b/>
                      <w:color w:val="000000"/>
                      <w:lang w:eastAsia="es-ES"/>
                    </w:rPr>
                  </w:pPr>
                  <w:r w:rsidRPr="00BD2090">
                    <w:rPr>
                      <w:rFonts w:eastAsia="Times New Roman" w:cstheme="minorHAnsi"/>
                      <w:b/>
                      <w:color w:val="000000"/>
                      <w:lang w:eastAsia="es-ES"/>
                    </w:rPr>
                    <w:t>Consultor en protección de datos, blanqueo y Derecho tributario</w:t>
                  </w:r>
                </w:p>
              </w:tc>
              <w:tc>
                <w:tcPr>
                  <w:tcW w:w="0" w:type="auto"/>
                  <w:tcBorders>
                    <w:top w:val="single" w:sz="4" w:space="0" w:color="auto"/>
                    <w:left w:val="nil"/>
                    <w:bottom w:val="single" w:sz="4" w:space="0" w:color="auto"/>
                    <w:right w:val="single" w:sz="4" w:space="0" w:color="auto"/>
                  </w:tcBorders>
                  <w:shd w:val="clear" w:color="auto" w:fill="auto"/>
                  <w:vAlign w:val="center"/>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 xml:space="preserve">ESOC </w:t>
                  </w:r>
                  <w:proofErr w:type="spellStart"/>
                  <w:r w:rsidRPr="00BD2090">
                    <w:rPr>
                      <w:rFonts w:eastAsia="Times New Roman" w:cstheme="minorHAnsi"/>
                      <w:color w:val="000000"/>
                      <w:lang w:eastAsia="es-ES"/>
                    </w:rPr>
                    <w:t>by</w:t>
                  </w:r>
                  <w:proofErr w:type="spellEnd"/>
                  <w:r w:rsidRPr="00BD2090">
                    <w:rPr>
                      <w:rFonts w:eastAsia="Times New Roman" w:cstheme="minorHAnsi"/>
                      <w:color w:val="000000"/>
                      <w:lang w:eastAsia="es-ES"/>
                    </w:rPr>
                    <w:t xml:space="preserve"> </w:t>
                  </w:r>
                  <w:proofErr w:type="spellStart"/>
                  <w:r w:rsidRPr="00BD2090">
                    <w:rPr>
                      <w:rFonts w:eastAsia="Times New Roman" w:cstheme="minorHAnsi"/>
                      <w:color w:val="000000"/>
                      <w:lang w:eastAsia="es-ES"/>
                    </w:rPr>
                    <w:t>Legitec</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2018</w:t>
                  </w:r>
                </w:p>
              </w:tc>
            </w:tr>
            <w:tr w:rsidR="00BD2090" w:rsidRPr="00BD2090" w:rsidTr="00BD209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2090" w:rsidRPr="00BD2090" w:rsidRDefault="00BD2090" w:rsidP="00BD2090">
                  <w:pPr>
                    <w:spacing w:after="0" w:line="240" w:lineRule="auto"/>
                    <w:jc w:val="center"/>
                    <w:rPr>
                      <w:rFonts w:eastAsia="Times New Roman" w:cstheme="minorHAnsi"/>
                      <w:b/>
                      <w:color w:val="000000"/>
                      <w:lang w:eastAsia="es-ES"/>
                    </w:rPr>
                  </w:pPr>
                  <w:r w:rsidRPr="00BD2090">
                    <w:rPr>
                      <w:rFonts w:eastAsia="Times New Roman" w:cstheme="minorHAnsi"/>
                      <w:b/>
                      <w:color w:val="000000"/>
                      <w:lang w:eastAsia="es-ES"/>
                    </w:rPr>
                    <w:t>Profesor ayudante doctor</w:t>
                  </w:r>
                </w:p>
              </w:tc>
              <w:tc>
                <w:tcPr>
                  <w:tcW w:w="0" w:type="auto"/>
                  <w:tcBorders>
                    <w:top w:val="single" w:sz="4" w:space="0" w:color="auto"/>
                    <w:left w:val="nil"/>
                    <w:bottom w:val="single" w:sz="4" w:space="0" w:color="auto"/>
                    <w:right w:val="single" w:sz="4" w:space="0" w:color="auto"/>
                  </w:tcBorders>
                  <w:shd w:val="clear" w:color="auto" w:fill="auto"/>
                  <w:vAlign w:val="center"/>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Universidad Complutense de Madrid</w:t>
                  </w:r>
                </w:p>
              </w:tc>
              <w:tc>
                <w:tcPr>
                  <w:tcW w:w="0" w:type="auto"/>
                  <w:tcBorders>
                    <w:top w:val="single" w:sz="4" w:space="0" w:color="auto"/>
                    <w:left w:val="nil"/>
                    <w:bottom w:val="single" w:sz="4" w:space="0" w:color="auto"/>
                    <w:right w:val="single" w:sz="4" w:space="0" w:color="auto"/>
                  </w:tcBorders>
                  <w:shd w:val="clear" w:color="auto" w:fill="auto"/>
                  <w:vAlign w:val="center"/>
                </w:tcPr>
                <w:p w:rsidR="00BD2090" w:rsidRPr="00BD2090" w:rsidRDefault="00BD2090" w:rsidP="00BD2090">
                  <w:pPr>
                    <w:spacing w:after="0" w:line="240" w:lineRule="auto"/>
                    <w:jc w:val="center"/>
                    <w:rPr>
                      <w:rFonts w:eastAsia="Times New Roman" w:cstheme="minorHAnsi"/>
                      <w:color w:val="000000"/>
                      <w:lang w:eastAsia="es-ES"/>
                    </w:rPr>
                  </w:pPr>
                  <w:r w:rsidRPr="00BD2090">
                    <w:rPr>
                      <w:rFonts w:eastAsia="Times New Roman" w:cstheme="minorHAnsi"/>
                      <w:color w:val="000000"/>
                      <w:lang w:eastAsia="es-ES"/>
                    </w:rPr>
                    <w:t>2018-</w:t>
                  </w:r>
                </w:p>
              </w:tc>
            </w:tr>
          </w:tbl>
          <w:p w:rsidR="001D7F79" w:rsidRDefault="001D7F79"/>
          <w:p w:rsidR="001D7F79" w:rsidRDefault="001D7F79"/>
          <w:p w:rsidR="001D7F79" w:rsidRDefault="001D7F79" w:rsidP="001D7F79"/>
        </w:tc>
      </w:tr>
      <w:tr w:rsidR="00F77EB7" w:rsidTr="00BD2090">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sidP="00BD2090">
            <w:pPr>
              <w:jc w:val="both"/>
            </w:pPr>
            <w:r>
              <w:t>1.</w:t>
            </w:r>
            <w:r w:rsidR="00316FE4">
              <w:t xml:space="preserve"> </w:t>
            </w:r>
            <w:r w:rsidR="00BD2090">
              <w:t>Implicaciones del derecho a la protección de datos de carácter personal en el ámbito tributario.</w:t>
            </w:r>
          </w:p>
          <w:p w:rsidR="001D7F79" w:rsidRDefault="001D7F79" w:rsidP="00BD2090">
            <w:pPr>
              <w:jc w:val="both"/>
            </w:pPr>
            <w:r>
              <w:t>2.</w:t>
            </w:r>
            <w:r w:rsidR="00BD2090">
              <w:t xml:space="preserve"> Administración tributaria y transparencia.</w:t>
            </w:r>
          </w:p>
          <w:p w:rsidR="001D7F79" w:rsidRDefault="001D7F79" w:rsidP="00BD2090">
            <w:pPr>
              <w:jc w:val="both"/>
            </w:pPr>
            <w:r>
              <w:t>3.</w:t>
            </w:r>
            <w:r w:rsidR="00BD2090">
              <w:t xml:space="preserve"> El estudio del impacto de las normas en el comportamiento del contribuyente a través de la psicología.</w:t>
            </w:r>
          </w:p>
          <w:p w:rsidR="001D7F79" w:rsidRDefault="001D7F79" w:rsidP="00BD2090">
            <w:pPr>
              <w:jc w:val="both"/>
            </w:pPr>
          </w:p>
        </w:tc>
      </w:tr>
      <w:tr w:rsidR="006E5F82" w:rsidTr="00BD2090">
        <w:trPr>
          <w:trHeight w:val="2266"/>
        </w:trPr>
        <w:tc>
          <w:tcPr>
            <w:tcW w:w="1560" w:type="dxa"/>
          </w:tcPr>
          <w:p w:rsidR="006E5F82" w:rsidRDefault="006E5F82" w:rsidP="006E5F82">
            <w:pPr>
              <w:rPr>
                <w:u w:val="single"/>
              </w:rPr>
            </w:pPr>
            <w:r w:rsidRPr="003A369F">
              <w:rPr>
                <w:u w:val="single"/>
              </w:rPr>
              <w:lastRenderedPageBreak/>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316FE4" w:rsidRPr="00BD2090" w:rsidRDefault="00316FE4" w:rsidP="00316FE4">
            <w:pPr>
              <w:jc w:val="both"/>
              <w:rPr>
                <w:rFonts w:eastAsia="Times New Roman" w:cstheme="minorHAnsi"/>
                <w:b/>
                <w:noProof/>
                <w:color w:val="000000"/>
                <w:lang w:val="es-ES_tradnl" w:eastAsia="es-ES"/>
              </w:rPr>
            </w:pPr>
            <w:r w:rsidRPr="00BD2090">
              <w:rPr>
                <w:rFonts w:eastAsia="Times New Roman" w:cstheme="minorHAnsi"/>
                <w:noProof/>
                <w:color w:val="000000"/>
                <w:lang w:val="es-ES_tradnl" w:eastAsia="es-ES"/>
              </w:rPr>
              <w:t>1.Referencia:</w:t>
            </w:r>
            <w:r w:rsidRPr="00BD2090">
              <w:rPr>
                <w:rFonts w:eastAsia="Times New Roman" w:cstheme="minorHAnsi"/>
                <w:b/>
                <w:noProof/>
                <w:color w:val="000000"/>
                <w:lang w:val="es-ES_tradnl" w:eastAsia="es-ES"/>
              </w:rPr>
              <w:t xml:space="preserve"> Resolución Rectoral de la UMH 19/05/2011.</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Convocatoria: </w:t>
            </w:r>
            <w:r w:rsidRPr="00BD2090">
              <w:rPr>
                <w:rFonts w:eastAsia="Times New Roman" w:cstheme="minorHAnsi"/>
                <w:b/>
                <w:noProof/>
                <w:color w:val="000000"/>
                <w:lang w:val="es-ES_tradnl" w:eastAsia="es-ES"/>
              </w:rPr>
              <w:t>DOCV 6530 de 27 de mayo de 2011.</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Título:</w:t>
            </w:r>
            <w:r w:rsidRPr="00BD2090">
              <w:rPr>
                <w:rFonts w:eastAsia="Times New Roman" w:cstheme="minorHAnsi"/>
                <w:b/>
                <w:noProof/>
                <w:color w:val="000000"/>
                <w:lang w:val="es-ES_tradnl" w:eastAsia="es-ES"/>
              </w:rPr>
              <w:t xml:space="preserve"> La colaboración del sector público y el sector privado en la financiación de los servicios públicos desde una perspectiva jurídico-tributaria.</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Entidad Financiadora: </w:t>
            </w:r>
            <w:r w:rsidRPr="00BD2090">
              <w:rPr>
                <w:rFonts w:eastAsia="Times New Roman" w:cstheme="minorHAnsi"/>
                <w:b/>
                <w:noProof/>
                <w:color w:val="000000"/>
                <w:lang w:val="es-ES_tradnl" w:eastAsia="es-ES"/>
              </w:rPr>
              <w:t>Bancaja.</w:t>
            </w:r>
          </w:p>
          <w:p w:rsidR="00316FE4" w:rsidRPr="00BD2090" w:rsidRDefault="00316FE4" w:rsidP="00316FE4">
            <w:pPr>
              <w:jc w:val="both"/>
              <w:rPr>
                <w:rFonts w:eastAsia="Times New Roman" w:cstheme="minorHAnsi"/>
                <w:noProof/>
                <w:color w:val="000000"/>
                <w:lang w:val="it-IT" w:eastAsia="es-ES"/>
              </w:rPr>
            </w:pPr>
            <w:r w:rsidRPr="00BD2090">
              <w:rPr>
                <w:rFonts w:eastAsia="Times New Roman" w:cstheme="minorHAnsi"/>
                <w:noProof/>
                <w:color w:val="000000"/>
                <w:lang w:val="es-ES_tradnl" w:eastAsia="es-ES"/>
              </w:rPr>
              <w:t xml:space="preserve">Nombre del investigador principal: </w:t>
            </w:r>
            <w:r w:rsidRPr="00BD2090">
              <w:rPr>
                <w:rFonts w:eastAsia="Times New Roman" w:cstheme="minorHAnsi"/>
                <w:b/>
                <w:noProof/>
                <w:color w:val="000000"/>
                <w:lang w:val="es-ES_tradnl" w:eastAsia="es-ES"/>
              </w:rPr>
              <w:t xml:space="preserve">Dra. </w:t>
            </w:r>
            <w:r w:rsidRPr="00BD2090">
              <w:rPr>
                <w:rFonts w:eastAsia="Times New Roman" w:cstheme="minorHAnsi"/>
                <w:b/>
                <w:noProof/>
                <w:color w:val="000000"/>
                <w:lang w:val="it-IT" w:eastAsia="es-ES"/>
              </w:rPr>
              <w:t>D.ª Paula Vicente-Arche Coloma.</w:t>
            </w:r>
          </w:p>
          <w:p w:rsidR="00316FE4" w:rsidRPr="00BD2090" w:rsidRDefault="00316FE4" w:rsidP="00316FE4">
            <w:pPr>
              <w:jc w:val="both"/>
              <w:rPr>
                <w:rFonts w:cstheme="minorHAnsi"/>
              </w:rPr>
            </w:pPr>
            <w:r w:rsidRPr="00BD2090">
              <w:rPr>
                <w:rFonts w:eastAsia="Times New Roman" w:cstheme="minorHAnsi"/>
                <w:noProof/>
                <w:color w:val="000000"/>
                <w:lang w:val="es-ES_tradnl" w:eastAsia="es-ES"/>
              </w:rPr>
              <w:t>Fecha de inicio:</w:t>
            </w:r>
            <w:r w:rsidRPr="00BD2090">
              <w:rPr>
                <w:rFonts w:cstheme="minorHAnsi"/>
              </w:rPr>
              <w:t xml:space="preserve"> </w:t>
            </w:r>
            <w:r w:rsidRPr="00BD2090">
              <w:rPr>
                <w:rFonts w:cstheme="minorHAnsi"/>
                <w:b/>
              </w:rPr>
              <w:t>1/01/2012.</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Fecha de finalización: </w:t>
            </w:r>
            <w:r w:rsidRPr="00BD2090">
              <w:rPr>
                <w:rFonts w:eastAsia="Times New Roman" w:cstheme="minorHAnsi"/>
                <w:b/>
                <w:noProof/>
                <w:color w:val="000000"/>
                <w:lang w:val="es-ES_tradnl" w:eastAsia="es-ES"/>
              </w:rPr>
              <w:t>31/12/2013.</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Cuantía de la subvención: </w:t>
            </w:r>
            <w:r w:rsidRPr="00BD2090">
              <w:rPr>
                <w:rFonts w:eastAsia="Times New Roman" w:cstheme="minorHAnsi"/>
                <w:b/>
                <w:noProof/>
                <w:color w:val="000000"/>
                <w:lang w:val="es-ES_tradnl" w:eastAsia="es-ES"/>
              </w:rPr>
              <w:t>12.000 €</w:t>
            </w:r>
            <w:r w:rsidRPr="00BD2090">
              <w:rPr>
                <w:rFonts w:eastAsia="Times New Roman" w:cstheme="minorHAnsi"/>
                <w:b/>
                <w:noProof/>
                <w:color w:val="000000"/>
                <w:lang w:val="es-ES_tradnl" w:eastAsia="es-ES"/>
              </w:rPr>
              <w:tab/>
              <w:t>.</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Tipo de participación:</w:t>
            </w:r>
            <w:r w:rsidRPr="00BD2090">
              <w:rPr>
                <w:rFonts w:eastAsia="Times New Roman" w:cstheme="minorHAnsi"/>
                <w:noProof/>
                <w:color w:val="000000"/>
                <w:lang w:val="es-ES_tradnl" w:eastAsia="es-ES"/>
              </w:rPr>
              <w:tab/>
            </w:r>
            <w:r w:rsidRPr="00BD2090">
              <w:rPr>
                <w:rFonts w:eastAsia="Times New Roman" w:cstheme="minorHAnsi"/>
                <w:b/>
                <w:noProof/>
                <w:color w:val="000000"/>
                <w:lang w:val="es-ES_tradnl" w:eastAsia="es-ES"/>
              </w:rPr>
              <w:t>Investigador (Becario FPI).</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b/>
                <w:noProof/>
                <w:color w:val="000000"/>
                <w:lang w:val="es-ES_tradnl" w:eastAsia="es-ES"/>
              </w:rPr>
            </w:pPr>
            <w:r w:rsidRPr="00BD2090">
              <w:rPr>
                <w:rFonts w:eastAsia="Times New Roman" w:cstheme="minorHAnsi"/>
                <w:noProof/>
                <w:color w:val="000000"/>
                <w:lang w:val="es-ES_tradnl" w:eastAsia="es-ES"/>
              </w:rPr>
              <w:t>2.Referencia:</w:t>
            </w:r>
            <w:r w:rsidRPr="00BD2090">
              <w:rPr>
                <w:rFonts w:eastAsia="Times New Roman" w:cstheme="minorHAnsi"/>
                <w:b/>
                <w:noProof/>
                <w:color w:val="000000"/>
                <w:lang w:val="es-ES_tradnl" w:eastAsia="es-ES"/>
              </w:rPr>
              <w:t xml:space="preserve"> DER2015-68072-P.</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Convocatoria:</w:t>
            </w:r>
            <w:r w:rsidRPr="00BD2090">
              <w:rPr>
                <w:rFonts w:eastAsia="Times New Roman" w:cstheme="minorHAnsi"/>
                <w:noProof/>
                <w:color w:val="000000" w:themeColor="text1"/>
                <w:lang w:val="es-ES_tradnl" w:eastAsia="es-ES"/>
              </w:rPr>
              <w:t xml:space="preserve"> </w:t>
            </w:r>
            <w:r w:rsidRPr="00BD2090">
              <w:rPr>
                <w:rFonts w:cstheme="minorHAnsi"/>
                <w:b/>
                <w:color w:val="000000" w:themeColor="text1"/>
                <w:shd w:val="clear" w:color="auto" w:fill="FFFFFF"/>
              </w:rPr>
              <w:t>(MINECO-FEDER).</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Título:</w:t>
            </w:r>
            <w:r w:rsidRPr="00BD2090">
              <w:rPr>
                <w:rFonts w:eastAsia="Times New Roman" w:cstheme="minorHAnsi"/>
                <w:b/>
                <w:noProof/>
                <w:color w:val="000000"/>
                <w:lang w:val="es-ES_tradnl" w:eastAsia="es-ES"/>
              </w:rPr>
              <w:t xml:space="preserve"> La seguridad jurídica en el ordenamiento tributario español.</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Entidad Financiadora: </w:t>
            </w:r>
            <w:r w:rsidRPr="00BD2090">
              <w:rPr>
                <w:rFonts w:eastAsia="Times New Roman" w:cstheme="minorHAnsi"/>
                <w:b/>
                <w:noProof/>
                <w:color w:val="000000"/>
                <w:lang w:val="es-ES_tradnl" w:eastAsia="es-ES"/>
              </w:rPr>
              <w:t>MINISTERIO DE ECONOMÍA Y COMPETITIVIDAD.</w:t>
            </w:r>
          </w:p>
          <w:p w:rsidR="00316FE4" w:rsidRPr="00BD2090" w:rsidRDefault="00316FE4" w:rsidP="00316FE4">
            <w:pPr>
              <w:jc w:val="both"/>
              <w:rPr>
                <w:rFonts w:eastAsia="Times New Roman" w:cstheme="minorHAnsi"/>
                <w:noProof/>
                <w:color w:val="000000"/>
                <w:lang w:eastAsia="es-ES"/>
              </w:rPr>
            </w:pPr>
            <w:r w:rsidRPr="00BD2090">
              <w:rPr>
                <w:rFonts w:eastAsia="Times New Roman" w:cstheme="minorHAnsi"/>
                <w:noProof/>
                <w:color w:val="000000"/>
                <w:lang w:val="es-ES_tradnl" w:eastAsia="es-ES"/>
              </w:rPr>
              <w:t xml:space="preserve">Nombre del investigador principal: </w:t>
            </w:r>
            <w:r w:rsidRPr="00BD2090">
              <w:rPr>
                <w:rFonts w:eastAsia="Times New Roman" w:cstheme="minorHAnsi"/>
                <w:b/>
                <w:noProof/>
                <w:color w:val="000000"/>
                <w:lang w:val="es-ES_tradnl" w:eastAsia="es-ES"/>
              </w:rPr>
              <w:t>Dr</w:t>
            </w:r>
            <w:r w:rsidRPr="00BD2090">
              <w:rPr>
                <w:rFonts w:eastAsia="Times New Roman" w:cstheme="minorHAnsi"/>
                <w:b/>
                <w:noProof/>
                <w:color w:val="000000"/>
                <w:lang w:eastAsia="es-ES"/>
              </w:rPr>
              <w:t>. Jorge Martín López y Dra. Begoña Pérez Bernabeu (Universidad de Alicante).</w:t>
            </w:r>
          </w:p>
          <w:p w:rsidR="00316FE4" w:rsidRPr="00BD2090" w:rsidRDefault="00316FE4" w:rsidP="00316FE4">
            <w:pPr>
              <w:jc w:val="both"/>
              <w:rPr>
                <w:rFonts w:cstheme="minorHAnsi"/>
              </w:rPr>
            </w:pPr>
            <w:r w:rsidRPr="00BD2090">
              <w:rPr>
                <w:rFonts w:eastAsia="Times New Roman" w:cstheme="minorHAnsi"/>
                <w:noProof/>
                <w:color w:val="000000"/>
                <w:lang w:val="es-ES_tradnl" w:eastAsia="es-ES"/>
              </w:rPr>
              <w:t>Fecha de inicio:</w:t>
            </w:r>
            <w:r w:rsidRPr="00BD2090">
              <w:rPr>
                <w:rFonts w:cstheme="minorHAnsi"/>
              </w:rPr>
              <w:t xml:space="preserve"> </w:t>
            </w:r>
            <w:r w:rsidRPr="00BD2090">
              <w:rPr>
                <w:rFonts w:cstheme="minorHAnsi"/>
                <w:b/>
              </w:rPr>
              <w:t>01/01/2016.</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Fecha de finalización: </w:t>
            </w:r>
            <w:r w:rsidRPr="00BD2090">
              <w:rPr>
                <w:rFonts w:eastAsia="Times New Roman" w:cstheme="minorHAnsi"/>
                <w:b/>
                <w:noProof/>
                <w:color w:val="000000"/>
                <w:lang w:val="es-ES_tradnl" w:eastAsia="es-ES"/>
              </w:rPr>
              <w:t>31/12/2018.</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Cuantía de la subvención: </w:t>
            </w:r>
            <w:r w:rsidRPr="00BD2090">
              <w:rPr>
                <w:rFonts w:eastAsia="Times New Roman" w:cstheme="minorHAnsi"/>
                <w:b/>
                <w:noProof/>
                <w:color w:val="000000"/>
                <w:lang w:val="es-ES_tradnl" w:eastAsia="es-ES"/>
              </w:rPr>
              <w:t>12947 €.</w:t>
            </w:r>
          </w:p>
          <w:p w:rsidR="00316FE4" w:rsidRPr="00BD2090" w:rsidRDefault="00316FE4" w:rsidP="00316FE4">
            <w:pPr>
              <w:jc w:val="both"/>
              <w:rPr>
                <w:rFonts w:eastAsia="Times New Roman" w:cstheme="minorHAnsi"/>
                <w:b/>
                <w:noProof/>
                <w:color w:val="000000"/>
                <w:lang w:val="es-ES_tradnl" w:eastAsia="es-ES"/>
              </w:rPr>
            </w:pPr>
            <w:r w:rsidRPr="00BD2090">
              <w:rPr>
                <w:rFonts w:eastAsia="Times New Roman" w:cstheme="minorHAnsi"/>
                <w:noProof/>
                <w:color w:val="000000"/>
                <w:lang w:val="es-ES_tradnl" w:eastAsia="es-ES"/>
              </w:rPr>
              <w:t>Tipo de participación:</w:t>
            </w:r>
            <w:r w:rsidRPr="00BD2090">
              <w:rPr>
                <w:rFonts w:eastAsia="Times New Roman" w:cstheme="minorHAnsi"/>
                <w:noProof/>
                <w:color w:val="000000"/>
                <w:lang w:val="es-ES_tradnl" w:eastAsia="es-ES"/>
              </w:rPr>
              <w:tab/>
            </w:r>
            <w:r w:rsidRPr="00BD2090">
              <w:rPr>
                <w:rFonts w:eastAsia="Times New Roman" w:cstheme="minorHAnsi"/>
                <w:b/>
                <w:noProof/>
                <w:color w:val="000000"/>
                <w:lang w:val="es-ES_tradnl" w:eastAsia="es-ES"/>
              </w:rPr>
              <w:t>Grupo de Trabajo.</w:t>
            </w:r>
          </w:p>
          <w:p w:rsidR="00316FE4" w:rsidRPr="00BD2090" w:rsidRDefault="00316FE4" w:rsidP="00316FE4">
            <w:pPr>
              <w:jc w:val="both"/>
              <w:rPr>
                <w:rFonts w:eastAsia="Times New Roman" w:cstheme="minorHAnsi"/>
                <w:b/>
                <w:noProof/>
                <w:color w:val="000000"/>
                <w:lang w:val="es-ES_tradnl" w:eastAsia="es-ES"/>
              </w:rPr>
            </w:pPr>
          </w:p>
          <w:p w:rsidR="00316FE4" w:rsidRPr="00BD2090" w:rsidRDefault="00316FE4" w:rsidP="00316FE4">
            <w:pPr>
              <w:jc w:val="both"/>
              <w:rPr>
                <w:rFonts w:cstheme="minorHAnsi"/>
              </w:rPr>
            </w:pPr>
            <w:r w:rsidRPr="00BD2090">
              <w:rPr>
                <w:rFonts w:eastAsia="Times New Roman" w:cstheme="minorHAnsi"/>
                <w:noProof/>
                <w:color w:val="000000"/>
                <w:lang w:val="es-ES_tradnl" w:eastAsia="es-ES"/>
              </w:rPr>
              <w:t>3.Referencia</w:t>
            </w:r>
            <w:r w:rsidRPr="00BD2090">
              <w:rPr>
                <w:rFonts w:eastAsia="Times New Roman" w:cstheme="minorHAnsi"/>
                <w:noProof/>
                <w:color w:val="000000" w:themeColor="text1"/>
                <w:lang w:val="es-ES_tradnl" w:eastAsia="es-ES"/>
              </w:rPr>
              <w:t>:</w:t>
            </w:r>
            <w:r w:rsidRPr="00BD2090">
              <w:rPr>
                <w:rFonts w:eastAsia="Times New Roman" w:cstheme="minorHAnsi"/>
                <w:b/>
                <w:noProof/>
                <w:color w:val="000000" w:themeColor="text1"/>
                <w:lang w:val="es-ES_tradnl" w:eastAsia="es-ES"/>
              </w:rPr>
              <w:t xml:space="preserve"> </w:t>
            </w:r>
            <w:r w:rsidRPr="00BD2090">
              <w:rPr>
                <w:rFonts w:cstheme="minorHAnsi"/>
                <w:b/>
                <w:color w:val="000000" w:themeColor="text1"/>
                <w:shd w:val="clear" w:color="auto" w:fill="FFFFFF"/>
              </w:rPr>
              <w:t>DER2015-65832-P.</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Convocatoria:</w:t>
            </w:r>
            <w:r w:rsidRPr="00BD2090">
              <w:rPr>
                <w:rFonts w:cstheme="minorHAnsi"/>
                <w:color w:val="222222"/>
                <w:shd w:val="clear" w:color="auto" w:fill="FFFFFF"/>
              </w:rPr>
              <w:t xml:space="preserve"> </w:t>
            </w:r>
            <w:r w:rsidRPr="00BD2090">
              <w:rPr>
                <w:rFonts w:cstheme="minorHAnsi"/>
                <w:b/>
                <w:color w:val="000000" w:themeColor="text1"/>
                <w:shd w:val="clear" w:color="auto" w:fill="FFFFFF"/>
              </w:rPr>
              <w:t>(MINECO-FEDER).</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Título:</w:t>
            </w:r>
            <w:r w:rsidRPr="00BD2090">
              <w:rPr>
                <w:rFonts w:cstheme="minorHAnsi"/>
                <w:b/>
                <w:color w:val="222222"/>
                <w:shd w:val="clear" w:color="auto" w:fill="FFFFFF"/>
              </w:rPr>
              <w:t xml:space="preserve"> </w:t>
            </w:r>
            <w:r w:rsidRPr="00BD2090">
              <w:rPr>
                <w:rFonts w:cstheme="minorHAnsi"/>
                <w:b/>
                <w:color w:val="000000" w:themeColor="text1"/>
                <w:shd w:val="clear" w:color="auto" w:fill="FFFFFF"/>
              </w:rPr>
              <w:t>“La protección de los derechos fundamentales y humanos en el Derecho Financiero y Tributario”.</w:t>
            </w:r>
          </w:p>
          <w:p w:rsidR="00316FE4" w:rsidRPr="00BD2090" w:rsidRDefault="00316FE4" w:rsidP="00316FE4">
            <w:pPr>
              <w:jc w:val="both"/>
              <w:rPr>
                <w:rFonts w:eastAsia="Times New Roman" w:cstheme="minorHAnsi"/>
                <w:noProof/>
                <w:color w:val="000000" w:themeColor="text1"/>
                <w:lang w:val="es-ES_tradnl" w:eastAsia="es-ES"/>
              </w:rPr>
            </w:pPr>
            <w:r w:rsidRPr="00BD2090">
              <w:rPr>
                <w:rFonts w:eastAsia="Times New Roman" w:cstheme="minorHAnsi"/>
                <w:noProof/>
                <w:color w:val="000000"/>
                <w:lang w:val="es-ES_tradnl" w:eastAsia="es-ES"/>
              </w:rPr>
              <w:t>Entidad Financiadora:</w:t>
            </w:r>
            <w:r w:rsidRPr="00BD2090">
              <w:rPr>
                <w:rFonts w:cstheme="minorHAnsi"/>
                <w:color w:val="222222"/>
                <w:shd w:val="clear" w:color="auto" w:fill="FFFFFF"/>
              </w:rPr>
              <w:t xml:space="preserve"> </w:t>
            </w:r>
            <w:r w:rsidRPr="00BD2090">
              <w:rPr>
                <w:rFonts w:cstheme="minorHAnsi"/>
                <w:b/>
                <w:color w:val="000000" w:themeColor="text1"/>
                <w:shd w:val="clear" w:color="auto" w:fill="FFFFFF"/>
              </w:rPr>
              <w:t>Financiado por el Ministerio de Economía y Competitividad.</w:t>
            </w:r>
          </w:p>
          <w:p w:rsidR="00316FE4" w:rsidRPr="00BD2090" w:rsidRDefault="00316FE4" w:rsidP="00316FE4">
            <w:pPr>
              <w:jc w:val="both"/>
              <w:rPr>
                <w:rFonts w:eastAsia="Times New Roman" w:cstheme="minorHAnsi"/>
                <w:noProof/>
                <w:color w:val="000000" w:themeColor="text1"/>
                <w:lang w:val="es-ES_tradnl" w:eastAsia="es-ES"/>
              </w:rPr>
            </w:pPr>
            <w:r w:rsidRPr="00BD2090">
              <w:rPr>
                <w:rFonts w:eastAsia="Times New Roman" w:cstheme="minorHAnsi"/>
                <w:noProof/>
                <w:color w:val="000000"/>
                <w:lang w:val="es-ES_tradnl" w:eastAsia="es-ES"/>
              </w:rPr>
              <w:t xml:space="preserve">Nombre de los investigadores principales: </w:t>
            </w:r>
            <w:r w:rsidRPr="00BD2090">
              <w:rPr>
                <w:rFonts w:cstheme="minorHAnsi"/>
                <w:b/>
                <w:color w:val="000000" w:themeColor="text1"/>
                <w:shd w:val="clear" w:color="auto" w:fill="FFFFFF"/>
              </w:rPr>
              <w:t>José Manuel Almudí Cid y Miguel Ángel Martínez Lago (Universidad Complutense de Madrid).</w:t>
            </w:r>
          </w:p>
          <w:p w:rsidR="00316FE4" w:rsidRPr="00BD2090" w:rsidRDefault="00316FE4" w:rsidP="00316FE4">
            <w:pPr>
              <w:jc w:val="both"/>
              <w:rPr>
                <w:rFonts w:eastAsia="Times New Roman" w:cstheme="minorHAnsi"/>
                <w:noProof/>
                <w:color w:val="000000" w:themeColor="text1"/>
                <w:lang w:val="es-ES_tradnl" w:eastAsia="es-ES"/>
              </w:rPr>
            </w:pPr>
            <w:r w:rsidRPr="00BD2090">
              <w:rPr>
                <w:rFonts w:eastAsia="Times New Roman" w:cstheme="minorHAnsi"/>
                <w:noProof/>
                <w:color w:val="000000" w:themeColor="text1"/>
                <w:lang w:val="es-ES_tradnl" w:eastAsia="es-ES"/>
              </w:rPr>
              <w:t>Fecha de inicio:</w:t>
            </w:r>
            <w:r w:rsidRPr="00BD2090">
              <w:rPr>
                <w:rFonts w:eastAsia="Times New Roman" w:cstheme="minorHAnsi"/>
                <w:b/>
                <w:noProof/>
                <w:color w:val="000000" w:themeColor="text1"/>
                <w:lang w:val="es-ES_tradnl" w:eastAsia="es-ES"/>
              </w:rPr>
              <w:t>01/01/2016</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Fecha de finalización:</w:t>
            </w:r>
            <w:r w:rsidRPr="00BD2090">
              <w:rPr>
                <w:rFonts w:eastAsia="Times New Roman" w:cstheme="minorHAnsi"/>
                <w:b/>
                <w:noProof/>
                <w:color w:val="000000"/>
                <w:lang w:val="es-ES_tradnl" w:eastAsia="es-ES"/>
              </w:rPr>
              <w:t>31/12/2019</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Cuantía de subvención: </w:t>
            </w:r>
            <w:r w:rsidRPr="00BD2090">
              <w:rPr>
                <w:rFonts w:eastAsia="Times New Roman" w:cstheme="minorHAnsi"/>
                <w:b/>
                <w:noProof/>
                <w:color w:val="000000"/>
                <w:lang w:val="es-ES_tradnl" w:eastAsia="es-ES"/>
              </w:rPr>
              <w:t>14.500€</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Tipo de participación: </w:t>
            </w:r>
            <w:r w:rsidRPr="00BD2090">
              <w:rPr>
                <w:rFonts w:eastAsia="Times New Roman" w:cstheme="minorHAnsi"/>
                <w:b/>
                <w:noProof/>
                <w:color w:val="000000"/>
                <w:lang w:val="es-ES_tradnl" w:eastAsia="es-ES"/>
              </w:rPr>
              <w:t>Grupo de trabajo.</w:t>
            </w:r>
          </w:p>
          <w:p w:rsidR="001D7F79" w:rsidRPr="00BD2090" w:rsidRDefault="001D7F79" w:rsidP="006E5F82">
            <w:pPr>
              <w:rPr>
                <w:rFonts w:cstheme="minorHAnsi"/>
                <w:lang w:val="es-ES_tradnl"/>
              </w:rPr>
            </w:pPr>
          </w:p>
        </w:tc>
      </w:tr>
      <w:tr w:rsidR="006E5F82" w:rsidTr="00BD2090">
        <w:tc>
          <w:tcPr>
            <w:tcW w:w="1560" w:type="dxa"/>
          </w:tcPr>
          <w:p w:rsidR="006E5F82" w:rsidRDefault="006E5F82" w:rsidP="006E5F82">
            <w:pPr>
              <w:rPr>
                <w:u w:val="single"/>
              </w:rPr>
            </w:pPr>
            <w:r w:rsidRPr="003A369F">
              <w:rPr>
                <w:u w:val="single"/>
              </w:rPr>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-Artículo. “</w:t>
            </w:r>
            <w:r w:rsidRPr="00BD2090">
              <w:rPr>
                <w:rFonts w:eastAsia="Times New Roman" w:cstheme="minorHAnsi"/>
                <w:b/>
                <w:noProof/>
                <w:color w:val="000000"/>
                <w:lang w:val="es-ES_tradnl" w:eastAsia="es-ES"/>
              </w:rPr>
              <w:t>La protección de los datos personales en el ámbito tributario a la luz de la directiva 2011/16/UE. Situación actual y perspectivas de futuro</w:t>
            </w:r>
            <w:r w:rsidRPr="00BD2090">
              <w:rPr>
                <w:rFonts w:eastAsia="Times New Roman" w:cstheme="minorHAnsi"/>
                <w:noProof/>
                <w:color w:val="000000"/>
                <w:lang w:val="es-ES_tradnl" w:eastAsia="es-ES"/>
              </w:rPr>
              <w:t>”,</w:t>
            </w:r>
            <w:r w:rsidRPr="00BD2090">
              <w:rPr>
                <w:rFonts w:cstheme="minorHAnsi"/>
              </w:rPr>
              <w:t xml:space="preserve"> </w:t>
            </w:r>
            <w:r w:rsidRPr="00BD2090">
              <w:rPr>
                <w:rFonts w:eastAsia="Times New Roman" w:cstheme="minorHAnsi"/>
                <w:i/>
                <w:noProof/>
                <w:color w:val="000000"/>
                <w:lang w:val="es-ES_tradnl" w:eastAsia="es-ES"/>
              </w:rPr>
              <w:t>Documentos - Instituto de Estudios Fiscales</w:t>
            </w:r>
            <w:r w:rsidRPr="00BD2090">
              <w:rPr>
                <w:rFonts w:eastAsia="Times New Roman" w:cstheme="minorHAnsi"/>
                <w:noProof/>
                <w:color w:val="000000"/>
                <w:lang w:val="es-ES_tradnl" w:eastAsia="es-ES"/>
              </w:rPr>
              <w:t>, número 8/2014, págs.119-128.</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-Artículo. “</w:t>
            </w:r>
            <w:r w:rsidRPr="00BD2090">
              <w:rPr>
                <w:rFonts w:eastAsia="Times New Roman" w:cstheme="minorHAnsi"/>
                <w:b/>
                <w:noProof/>
                <w:color w:val="000000"/>
                <w:lang w:val="es-ES_tradnl" w:eastAsia="es-ES"/>
              </w:rPr>
              <w:t>La publicidad de los deudores tributarios desde la perspectiva del derecho a la protección de los datos personales</w:t>
            </w:r>
            <w:r w:rsidRPr="00BD2090">
              <w:rPr>
                <w:rFonts w:eastAsia="Times New Roman" w:cstheme="minorHAnsi"/>
                <w:noProof/>
                <w:color w:val="000000"/>
                <w:lang w:val="es-ES_tradnl" w:eastAsia="es-ES"/>
              </w:rPr>
              <w:t xml:space="preserve">”, </w:t>
            </w:r>
            <w:r w:rsidRPr="00BD2090">
              <w:rPr>
                <w:rFonts w:eastAsia="Times New Roman" w:cstheme="minorHAnsi"/>
                <w:i/>
                <w:noProof/>
                <w:color w:val="000000"/>
                <w:lang w:val="es-ES_tradnl" w:eastAsia="es-ES"/>
              </w:rPr>
              <w:t>Revista Quincena Fiscal</w:t>
            </w:r>
            <w:r w:rsidRPr="00BD2090">
              <w:rPr>
                <w:rFonts w:eastAsia="Times New Roman" w:cstheme="minorHAnsi"/>
                <w:noProof/>
                <w:color w:val="000000"/>
                <w:lang w:val="es-ES_tradnl" w:eastAsia="es-ES"/>
              </w:rPr>
              <w:t>, número 11/2015, págs.17- 43.</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-Artículo. “</w:t>
            </w:r>
            <w:r w:rsidRPr="00BD2090">
              <w:rPr>
                <w:rFonts w:eastAsia="Times New Roman" w:cstheme="minorHAnsi"/>
                <w:b/>
                <w:noProof/>
                <w:color w:val="000000"/>
                <w:lang w:val="es-ES_tradnl" w:eastAsia="es-ES"/>
              </w:rPr>
              <w:t>El artículo 95 bis de la Ley General Tributaria y el derecho a la protección de los datos personales</w:t>
            </w:r>
            <w:r w:rsidRPr="00BD2090">
              <w:rPr>
                <w:rFonts w:eastAsia="Times New Roman" w:cstheme="minorHAnsi"/>
                <w:noProof/>
                <w:color w:val="000000"/>
                <w:lang w:val="es-ES_tradnl" w:eastAsia="es-ES"/>
              </w:rPr>
              <w:t>”,</w:t>
            </w:r>
            <w:r w:rsidRPr="00BD2090">
              <w:rPr>
                <w:rFonts w:cstheme="minorHAnsi"/>
              </w:rPr>
              <w:t xml:space="preserve"> </w:t>
            </w:r>
            <w:r w:rsidRPr="00BD2090">
              <w:rPr>
                <w:rFonts w:eastAsia="Times New Roman" w:cstheme="minorHAnsi"/>
                <w:i/>
                <w:noProof/>
                <w:color w:val="000000"/>
                <w:lang w:val="es-ES_tradnl" w:eastAsia="es-ES"/>
              </w:rPr>
              <w:t>Documentos - Instituto de Estudios Fiscales</w:t>
            </w:r>
            <w:r w:rsidRPr="00BD2090">
              <w:rPr>
                <w:rFonts w:eastAsia="Times New Roman" w:cstheme="minorHAnsi"/>
                <w:noProof/>
                <w:color w:val="000000"/>
                <w:lang w:val="es-ES_tradnl" w:eastAsia="es-ES"/>
              </w:rPr>
              <w:t>, número 15/2016, págs. 167-177.</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-Tesis. </w:t>
            </w:r>
            <w:r w:rsidRPr="00BD2090">
              <w:rPr>
                <w:rFonts w:eastAsia="Times New Roman" w:cstheme="minorHAnsi"/>
                <w:b/>
                <w:i/>
                <w:noProof/>
                <w:color w:val="000000"/>
                <w:lang w:val="es-ES_tradnl" w:eastAsia="es-ES"/>
              </w:rPr>
              <w:t>La protección de los datos personales de los obligados tributarios durante su captación en el contexto nacional y de la Unión Europea</w:t>
            </w:r>
            <w:r w:rsidRPr="00BD2090">
              <w:rPr>
                <w:rFonts w:eastAsia="Times New Roman" w:cstheme="minorHAnsi"/>
                <w:noProof/>
                <w:color w:val="000000"/>
                <w:lang w:val="es-ES_tradnl" w:eastAsia="es-ES"/>
              </w:rPr>
              <w:t xml:space="preserve">, Tesis </w:t>
            </w:r>
            <w:r w:rsidRPr="00BD2090">
              <w:rPr>
                <w:rFonts w:eastAsia="Times New Roman" w:cstheme="minorHAnsi"/>
                <w:noProof/>
                <w:color w:val="000000"/>
                <w:lang w:val="es-ES_tradnl" w:eastAsia="es-ES"/>
              </w:rPr>
              <w:lastRenderedPageBreak/>
              <w:t>inédita, Universidad Miguel Hernández de Elche, 2016.</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-Artículo. “</w:t>
            </w:r>
            <w:r w:rsidRPr="00BD2090">
              <w:rPr>
                <w:rFonts w:eastAsia="Times New Roman" w:cstheme="minorHAnsi"/>
                <w:b/>
                <w:noProof/>
                <w:color w:val="000000"/>
                <w:lang w:val="es-ES_tradnl" w:eastAsia="es-ES"/>
              </w:rPr>
              <w:t>Las listas de los incumplidores tributarios en Europa desde la perspectiva del derecho a la protección de datos personales</w:t>
            </w:r>
            <w:r w:rsidRPr="00BD2090">
              <w:rPr>
                <w:rFonts w:eastAsia="Times New Roman" w:cstheme="minorHAnsi"/>
                <w:noProof/>
                <w:color w:val="000000"/>
                <w:lang w:val="es-ES_tradnl" w:eastAsia="es-ES"/>
              </w:rPr>
              <w:t xml:space="preserve">”, </w:t>
            </w:r>
            <w:r w:rsidRPr="00BD2090">
              <w:rPr>
                <w:rFonts w:eastAsia="Times New Roman" w:cstheme="minorHAnsi"/>
                <w:i/>
                <w:noProof/>
                <w:color w:val="000000"/>
                <w:lang w:val="es-ES_tradnl" w:eastAsia="es-ES"/>
              </w:rPr>
              <w:t>Quincena Fiscal</w:t>
            </w:r>
            <w:r w:rsidRPr="00BD2090">
              <w:rPr>
                <w:rFonts w:eastAsia="Times New Roman" w:cstheme="minorHAnsi"/>
                <w:noProof/>
                <w:color w:val="000000"/>
                <w:lang w:val="es-ES_tradnl" w:eastAsia="es-ES"/>
              </w:rPr>
              <w:t>, número 14/2017, págs. 61-103.</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-Monografía. </w:t>
            </w:r>
            <w:r w:rsidRPr="00BD2090">
              <w:rPr>
                <w:rFonts w:eastAsia="Times New Roman" w:cstheme="minorHAnsi"/>
                <w:b/>
                <w:i/>
                <w:noProof/>
                <w:color w:val="000000"/>
                <w:lang w:val="es-ES_tradnl" w:eastAsia="es-ES"/>
              </w:rPr>
              <w:t>La protección de los datos tributarios de carácter personal durante su obtención en España</w:t>
            </w:r>
            <w:r w:rsidRPr="00BD2090">
              <w:rPr>
                <w:rFonts w:eastAsia="Times New Roman" w:cstheme="minorHAnsi"/>
                <w:noProof/>
                <w:color w:val="000000"/>
                <w:lang w:val="es-ES_tradnl" w:eastAsia="es-ES"/>
              </w:rPr>
              <w:t xml:space="preserve">, Aranzadi, Cizur Menor, 2017. Colección grandes tratados. </w:t>
            </w:r>
            <w:r w:rsidRPr="00BD2090">
              <w:rPr>
                <w:rFonts w:eastAsia="Times New Roman" w:cstheme="minorHAnsi"/>
                <w:b/>
                <w:noProof/>
                <w:color w:val="000000"/>
                <w:lang w:val="es-ES_tradnl" w:eastAsia="es-ES"/>
              </w:rPr>
              <w:t>Recomendada para su compra por la Asociación Española de Asesores Fiscales</w:t>
            </w:r>
            <w:r w:rsidRPr="00BD2090">
              <w:rPr>
                <w:rFonts w:eastAsia="Times New Roman" w:cstheme="minorHAnsi"/>
                <w:noProof/>
                <w:color w:val="000000"/>
                <w:lang w:val="es-ES_tradnl" w:eastAsia="es-ES"/>
              </w:rPr>
              <w:t xml:space="preserve"> (AEDAF),</w:t>
            </w:r>
            <w:r w:rsidRPr="00BD2090">
              <w:rPr>
                <w:rFonts w:cstheme="minorHAnsi"/>
              </w:rPr>
              <w:t xml:space="preserve"> </w:t>
            </w:r>
            <w:r w:rsidRPr="00BD2090">
              <w:rPr>
                <w:rFonts w:eastAsia="Times New Roman" w:cstheme="minorHAnsi"/>
                <w:noProof/>
                <w:color w:val="000000"/>
                <w:lang w:val="es-ES_tradnl" w:eastAsia="es-ES"/>
              </w:rPr>
              <w:t>9788491774327, 483 páginas.</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eastAsia="es-ES"/>
              </w:rPr>
            </w:pPr>
            <w:r w:rsidRPr="00BD2090">
              <w:rPr>
                <w:rFonts w:eastAsia="Times New Roman" w:cstheme="minorHAnsi"/>
                <w:noProof/>
                <w:color w:val="000000"/>
                <w:lang w:val="en-GB" w:eastAsia="es-ES"/>
              </w:rPr>
              <w:t>-Artículo. “</w:t>
            </w:r>
            <w:bookmarkStart w:id="1" w:name="_Hlk3024038"/>
            <w:r w:rsidRPr="00BD2090">
              <w:rPr>
                <w:rFonts w:eastAsia="Times New Roman" w:cstheme="minorHAnsi"/>
                <w:b/>
                <w:noProof/>
                <w:color w:val="000000"/>
                <w:lang w:val="en-GB" w:eastAsia="es-ES"/>
              </w:rPr>
              <w:t>Technological innovation within the Spanish Tax Administration and data subjects' right to access: An opportunity knocks</w:t>
            </w:r>
            <w:r w:rsidRPr="00BD2090">
              <w:rPr>
                <w:rFonts w:eastAsia="Times New Roman" w:cstheme="minorHAnsi"/>
                <w:noProof/>
                <w:color w:val="000000"/>
                <w:lang w:val="en-GB" w:eastAsia="es-ES"/>
              </w:rPr>
              <w:t xml:space="preserve">”, </w:t>
            </w:r>
            <w:r w:rsidRPr="00BD2090">
              <w:rPr>
                <w:rFonts w:eastAsia="Times New Roman" w:cstheme="minorHAnsi"/>
                <w:i/>
                <w:noProof/>
                <w:color w:val="000000"/>
                <w:lang w:val="en-GB" w:eastAsia="es-ES"/>
              </w:rPr>
              <w:t>Computer Law &amp; Security Review</w:t>
            </w:r>
            <w:r w:rsidRPr="00BD2090">
              <w:rPr>
                <w:rFonts w:eastAsia="Times New Roman" w:cstheme="minorHAnsi"/>
                <w:noProof/>
                <w:color w:val="000000"/>
                <w:lang w:val="en-GB" w:eastAsia="es-ES"/>
              </w:rPr>
              <w:t xml:space="preserve">, vol. 34, n.º 3, 2018, ISSN 0267-3649, doi: </w:t>
            </w:r>
            <w:hyperlink r:id="rId7" w:history="1">
              <w:r w:rsidRPr="00BD2090">
                <w:rPr>
                  <w:rStyle w:val="Hipervnculo"/>
                  <w:rFonts w:eastAsia="Times New Roman" w:cstheme="minorHAnsi"/>
                  <w:noProof/>
                  <w:lang w:val="en-GB" w:eastAsia="es-ES"/>
                </w:rPr>
                <w:t>http://dx.doi.org/10.1016/j.clsr.2017.11.012</w:t>
              </w:r>
            </w:hyperlink>
            <w:r w:rsidRPr="00BD2090">
              <w:rPr>
                <w:rFonts w:eastAsia="Times New Roman" w:cstheme="minorHAnsi"/>
                <w:noProof/>
                <w:color w:val="000000"/>
                <w:lang w:val="en-GB" w:eastAsia="es-ES"/>
              </w:rPr>
              <w:t xml:space="preserve">, págs. </w:t>
            </w:r>
            <w:r w:rsidRPr="00BD2090">
              <w:rPr>
                <w:rFonts w:eastAsia="Times New Roman" w:cstheme="minorHAnsi"/>
                <w:noProof/>
                <w:color w:val="000000"/>
                <w:lang w:eastAsia="es-ES"/>
              </w:rPr>
              <w:t>628-639.</w:t>
            </w:r>
            <w:bookmarkEnd w:id="1"/>
            <w:r w:rsidRPr="00BD2090">
              <w:rPr>
                <w:rFonts w:eastAsia="Times New Roman" w:cstheme="minorHAnsi"/>
                <w:noProof/>
                <w:color w:val="000000"/>
                <w:lang w:eastAsia="es-ES"/>
              </w:rPr>
              <w:t xml:space="preserve"> Revista indexada en </w:t>
            </w:r>
            <w:r w:rsidRPr="00BD2090">
              <w:rPr>
                <w:rFonts w:eastAsia="Times New Roman" w:cstheme="minorHAnsi"/>
                <w:b/>
                <w:i/>
                <w:noProof/>
                <w:color w:val="000000"/>
                <w:lang w:eastAsia="es-ES"/>
              </w:rPr>
              <w:t>Journal Citation Reports</w:t>
            </w:r>
            <w:r w:rsidRPr="00BD2090">
              <w:rPr>
                <w:rFonts w:eastAsia="Times New Roman" w:cstheme="minorHAnsi"/>
                <w:noProof/>
                <w:color w:val="000000"/>
                <w:lang w:eastAsia="es-ES"/>
              </w:rPr>
              <w:t xml:space="preserve">, </w:t>
            </w:r>
            <w:r w:rsidRPr="00BD2090">
              <w:rPr>
                <w:rFonts w:eastAsia="Times New Roman" w:cstheme="minorHAnsi"/>
                <w:b/>
                <w:noProof/>
                <w:color w:val="000000"/>
                <w:lang w:eastAsia="es-ES"/>
              </w:rPr>
              <w:t>Q2</w:t>
            </w:r>
            <w:r w:rsidRPr="00BD2090">
              <w:rPr>
                <w:rFonts w:eastAsia="Times New Roman" w:cstheme="minorHAnsi"/>
                <w:noProof/>
                <w:color w:val="000000"/>
                <w:lang w:eastAsia="es-ES"/>
              </w:rPr>
              <w:t>.</w:t>
            </w:r>
          </w:p>
          <w:p w:rsidR="00316FE4" w:rsidRPr="00BD2090" w:rsidRDefault="00316FE4" w:rsidP="00316FE4">
            <w:pPr>
              <w:jc w:val="both"/>
              <w:rPr>
                <w:rFonts w:eastAsia="Times New Roman" w:cstheme="minorHAnsi"/>
                <w:noProof/>
                <w:color w:val="000000"/>
                <w:lang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eastAsia="es-ES"/>
              </w:rPr>
              <w:t>-Artículo. “</w:t>
            </w:r>
            <w:r w:rsidRPr="00BD2090">
              <w:rPr>
                <w:rFonts w:eastAsia="Times New Roman" w:cstheme="minorHAnsi"/>
                <w:b/>
                <w:noProof/>
                <w:color w:val="000000"/>
                <w:lang w:eastAsia="es-ES"/>
              </w:rPr>
              <w:t xml:space="preserve">La captación de información personal </w:t>
            </w:r>
            <w:r w:rsidRPr="00BD2090">
              <w:rPr>
                <w:rFonts w:eastAsia="Times New Roman" w:cstheme="minorHAnsi"/>
                <w:b/>
                <w:noProof/>
                <w:color w:val="000000"/>
                <w:lang w:val="es-ES_tradnl" w:eastAsia="es-ES"/>
              </w:rPr>
              <w:t>de abogados y procuradores: ¿dónde quedan las garantías jurídicas?</w:t>
            </w:r>
            <w:r w:rsidRPr="00BD2090">
              <w:rPr>
                <w:rFonts w:eastAsia="Times New Roman" w:cstheme="minorHAnsi"/>
                <w:noProof/>
                <w:color w:val="000000"/>
                <w:lang w:val="es-ES_tradnl" w:eastAsia="es-ES"/>
              </w:rPr>
              <w:t xml:space="preserve">”, </w:t>
            </w:r>
            <w:r w:rsidRPr="00BD2090">
              <w:rPr>
                <w:rFonts w:eastAsia="Times New Roman" w:cstheme="minorHAnsi"/>
                <w:i/>
                <w:noProof/>
                <w:color w:val="000000"/>
                <w:lang w:val="es-ES_tradnl" w:eastAsia="es-ES"/>
              </w:rPr>
              <w:t>Quincena Fiscal</w:t>
            </w:r>
            <w:r w:rsidRPr="00BD2090">
              <w:rPr>
                <w:rFonts w:eastAsia="Times New Roman" w:cstheme="minorHAnsi"/>
                <w:noProof/>
                <w:color w:val="000000"/>
                <w:lang w:val="es-ES_tradnl" w:eastAsia="es-ES"/>
              </w:rPr>
              <w:t>, número 4/2018, págs. 1-26.</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-Artículo. </w:t>
            </w:r>
            <w:bookmarkStart w:id="2" w:name="_Hlk3023987"/>
            <w:r w:rsidRPr="00BD2090">
              <w:rPr>
                <w:rFonts w:eastAsia="Times New Roman" w:cstheme="minorHAnsi"/>
                <w:noProof/>
                <w:color w:val="000000"/>
                <w:lang w:val="es-ES_tradnl" w:eastAsia="es-ES"/>
              </w:rPr>
              <w:t>“</w:t>
            </w:r>
            <w:r w:rsidRPr="00BD2090">
              <w:rPr>
                <w:rFonts w:eastAsia="Times New Roman" w:cstheme="minorHAnsi"/>
                <w:b/>
                <w:noProof/>
                <w:color w:val="000000"/>
                <w:lang w:val="es-ES_tradnl" w:eastAsia="es-ES"/>
              </w:rPr>
              <w:t>El acceso a los datos personales en la Administración tributaria</w:t>
            </w:r>
            <w:r w:rsidRPr="00BD2090">
              <w:rPr>
                <w:rFonts w:eastAsia="Times New Roman" w:cstheme="minorHAnsi"/>
                <w:noProof/>
                <w:color w:val="000000"/>
                <w:lang w:val="es-ES_tradnl" w:eastAsia="es-ES"/>
              </w:rPr>
              <w:t xml:space="preserve">”, CEF. </w:t>
            </w:r>
            <w:r w:rsidRPr="00BD2090">
              <w:rPr>
                <w:rFonts w:eastAsia="Times New Roman" w:cstheme="minorHAnsi"/>
                <w:i/>
                <w:noProof/>
                <w:color w:val="000000"/>
                <w:lang w:val="es-ES_tradnl" w:eastAsia="es-ES"/>
              </w:rPr>
              <w:t>Revista de contabilidad y tributación</w:t>
            </w:r>
            <w:r w:rsidRPr="00BD2090">
              <w:rPr>
                <w:rFonts w:eastAsia="Times New Roman" w:cstheme="minorHAnsi"/>
                <w:noProof/>
                <w:color w:val="000000"/>
                <w:lang w:val="es-ES_tradnl" w:eastAsia="es-ES"/>
              </w:rPr>
              <w:t>, número 419, 2018, págs. 1-36.</w:t>
            </w:r>
            <w:bookmarkEnd w:id="2"/>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-Artículo. “</w:t>
            </w:r>
            <w:r w:rsidRPr="00BD2090">
              <w:rPr>
                <w:rFonts w:eastAsia="Times New Roman" w:cstheme="minorHAnsi"/>
                <w:b/>
                <w:noProof/>
                <w:color w:val="000000"/>
                <w:lang w:val="es-ES_tradnl" w:eastAsia="es-ES"/>
              </w:rPr>
              <w:t>Hacia un nuevo marco de transparencia durante los intercambios transnacionales de datos tributarios de carácter personal: el deber de informar</w:t>
            </w:r>
            <w:r w:rsidRPr="00BD2090">
              <w:rPr>
                <w:rFonts w:eastAsia="Times New Roman" w:cstheme="minorHAnsi"/>
                <w:noProof/>
                <w:color w:val="000000"/>
                <w:lang w:val="es-ES_tradnl" w:eastAsia="es-ES"/>
              </w:rPr>
              <w:t xml:space="preserve">”, </w:t>
            </w:r>
            <w:r w:rsidRPr="00BD2090">
              <w:rPr>
                <w:rFonts w:eastAsia="Times New Roman" w:cstheme="minorHAnsi"/>
                <w:i/>
                <w:noProof/>
                <w:color w:val="000000"/>
                <w:lang w:val="es-ES_tradnl" w:eastAsia="es-ES"/>
              </w:rPr>
              <w:t>Revista Vasca de Administración Pública</w:t>
            </w:r>
            <w:r w:rsidRPr="00BD2090">
              <w:rPr>
                <w:rFonts w:eastAsia="Times New Roman" w:cstheme="minorHAnsi"/>
                <w:noProof/>
                <w:color w:val="000000"/>
                <w:lang w:val="es-ES_tradnl" w:eastAsia="es-ES"/>
              </w:rPr>
              <w:t>, número 111, 2018, págs. 1-35.</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w:t>
            </w:r>
            <w:r w:rsidRPr="00BD2090">
              <w:rPr>
                <w:rFonts w:cstheme="minorHAnsi"/>
              </w:rPr>
              <w:t xml:space="preserve"> </w:t>
            </w:r>
            <w:r w:rsidRPr="00BD2090">
              <w:rPr>
                <w:rFonts w:eastAsia="Times New Roman" w:cstheme="minorHAnsi"/>
                <w:noProof/>
                <w:color w:val="000000"/>
                <w:lang w:val="es-ES_tradnl" w:eastAsia="es-ES"/>
              </w:rPr>
              <w:t xml:space="preserve">Monografía. </w:t>
            </w:r>
            <w:r w:rsidRPr="00BD2090">
              <w:rPr>
                <w:rFonts w:eastAsia="Times New Roman" w:cstheme="minorHAnsi"/>
                <w:b/>
                <w:i/>
                <w:noProof/>
                <w:color w:val="000000"/>
                <w:lang w:val="es-ES_tradnl" w:eastAsia="es-ES"/>
              </w:rPr>
              <w:t>Protección de datos, Administración tributaria y tratamientos de alto riesgo en la Unión Europea</w:t>
            </w:r>
            <w:r w:rsidRPr="00BD2090">
              <w:rPr>
                <w:rFonts w:eastAsia="Times New Roman" w:cstheme="minorHAnsi"/>
                <w:noProof/>
                <w:color w:val="000000"/>
                <w:lang w:val="es-ES_tradnl" w:eastAsia="es-ES"/>
              </w:rPr>
              <w:t>,</w:t>
            </w:r>
            <w:r w:rsidRPr="00BD2090">
              <w:rPr>
                <w:rFonts w:cstheme="minorHAnsi"/>
              </w:rPr>
              <w:t xml:space="preserve"> </w:t>
            </w:r>
            <w:r w:rsidRPr="00BD2090">
              <w:rPr>
                <w:rFonts w:eastAsia="Times New Roman" w:cstheme="minorHAnsi"/>
                <w:noProof/>
                <w:color w:val="000000"/>
                <w:lang w:val="es-ES_tradnl" w:eastAsia="es-ES"/>
              </w:rPr>
              <w:t>Aranzadi, Cizur Menor, 2018. Colección Monografías, ISBN: 9788491971184, págs. 183.</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 </w:t>
            </w:r>
            <w:r w:rsidRPr="00BD2090">
              <w:rPr>
                <w:rFonts w:cstheme="minorHAnsi"/>
              </w:rPr>
              <w:t>Artículo. “</w:t>
            </w:r>
            <w:r w:rsidRPr="00BD2090">
              <w:rPr>
                <w:rFonts w:eastAsia="Times New Roman" w:cstheme="minorHAnsi"/>
                <w:b/>
                <w:noProof/>
                <w:color w:val="000000"/>
                <w:lang w:val="es-ES_tradnl" w:eastAsia="es-ES"/>
              </w:rPr>
              <w:t>La eficacia del listado de incumplidores relevantes a la Hacienda Pública</w:t>
            </w:r>
            <w:r w:rsidRPr="00BD2090">
              <w:rPr>
                <w:rFonts w:eastAsia="Times New Roman" w:cstheme="minorHAnsi"/>
                <w:noProof/>
                <w:color w:val="000000"/>
                <w:lang w:val="es-ES_tradnl" w:eastAsia="es-ES"/>
              </w:rPr>
              <w:t>”</w:t>
            </w:r>
            <w:r w:rsidRPr="00BD2090">
              <w:rPr>
                <w:rFonts w:eastAsia="Times New Roman" w:cstheme="minorHAnsi"/>
                <w:i/>
                <w:noProof/>
                <w:color w:val="000000"/>
                <w:lang w:val="es-ES_tradnl" w:eastAsia="es-ES"/>
              </w:rPr>
              <w:t>,</w:t>
            </w:r>
            <w:r w:rsidRPr="00BD2090">
              <w:rPr>
                <w:rFonts w:cstheme="minorHAnsi"/>
                <w:i/>
              </w:rPr>
              <w:t xml:space="preserve"> R</w:t>
            </w:r>
            <w:r w:rsidRPr="00BD2090">
              <w:rPr>
                <w:rFonts w:eastAsia="Times New Roman" w:cstheme="minorHAnsi"/>
                <w:i/>
                <w:noProof/>
                <w:color w:val="000000"/>
                <w:lang w:val="es-ES_tradnl" w:eastAsia="es-ES"/>
              </w:rPr>
              <w:t>evista de Internet, Derecho y Política</w:t>
            </w:r>
            <w:r w:rsidRPr="00BD2090">
              <w:rPr>
                <w:rFonts w:eastAsia="Times New Roman" w:cstheme="minorHAnsi"/>
                <w:noProof/>
                <w:color w:val="000000"/>
                <w:lang w:val="es-ES_tradnl" w:eastAsia="es-ES"/>
              </w:rPr>
              <w:t>, número 29, 2019.</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n-US" w:eastAsia="es-ES"/>
              </w:rPr>
            </w:pPr>
            <w:r w:rsidRPr="00BD2090">
              <w:rPr>
                <w:rFonts w:eastAsia="Times New Roman" w:cstheme="minorHAnsi"/>
                <w:noProof/>
                <w:color w:val="000000"/>
                <w:lang w:val="en-US" w:eastAsia="es-ES"/>
              </w:rPr>
              <w:t>-Reseña de monografía.</w:t>
            </w:r>
            <w:r w:rsidRPr="00BD2090">
              <w:rPr>
                <w:rFonts w:cstheme="minorHAnsi"/>
                <w:lang w:val="en-US"/>
              </w:rPr>
              <w:t xml:space="preserve"> “</w:t>
            </w:r>
            <w:r w:rsidRPr="00BD2090">
              <w:rPr>
                <w:rFonts w:eastAsia="Times New Roman" w:cstheme="minorHAnsi"/>
                <w:b/>
                <w:noProof/>
                <w:color w:val="000000"/>
                <w:lang w:val="en-US" w:eastAsia="es-ES"/>
              </w:rPr>
              <w:t>The Council Directive 2011/16/EU in the Global Context of Tax Transparency and Automatic Exchange of Information</w:t>
            </w:r>
            <w:r w:rsidRPr="00BD2090">
              <w:rPr>
                <w:rFonts w:eastAsia="Times New Roman" w:cstheme="minorHAnsi"/>
                <w:noProof/>
                <w:color w:val="000000"/>
                <w:lang w:val="en-US" w:eastAsia="es-ES"/>
              </w:rPr>
              <w:t>”, Crónica Tributaria, n.º170, ISSN: 0210-2919, 2019.</w:t>
            </w:r>
          </w:p>
          <w:p w:rsidR="00316FE4" w:rsidRPr="00BD2090" w:rsidRDefault="00316FE4" w:rsidP="00316FE4">
            <w:pPr>
              <w:jc w:val="both"/>
              <w:rPr>
                <w:rFonts w:eastAsia="Times New Roman" w:cstheme="minorHAnsi"/>
                <w:noProof/>
                <w:color w:val="000000"/>
                <w:lang w:val="en-US"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 xml:space="preserve">-Capítulo de libro. </w:t>
            </w:r>
            <w:r w:rsidRPr="00BD2090">
              <w:rPr>
                <w:rFonts w:eastAsia="Times New Roman" w:cstheme="minorHAnsi"/>
                <w:b/>
                <w:noProof/>
                <w:color w:val="000000"/>
                <w:lang w:val="es-ES_tradnl" w:eastAsia="es-ES"/>
              </w:rPr>
              <w:t>“La licitud de la elaboración de listas de presuntos incumplidores para la lucha contra fraude fiscal</w:t>
            </w:r>
            <w:r w:rsidRPr="00BD2090">
              <w:rPr>
                <w:rFonts w:eastAsia="Times New Roman" w:cstheme="minorHAnsi"/>
                <w:noProof/>
                <w:color w:val="000000"/>
                <w:lang w:val="es-ES_tradnl" w:eastAsia="es-ES"/>
              </w:rPr>
              <w:t xml:space="preserve">” en Beatriz Susana Tomás Mallén y Rosario García Mahamut (coordinadoras), </w:t>
            </w:r>
            <w:r w:rsidRPr="00BD2090">
              <w:rPr>
                <w:rFonts w:eastAsia="Times New Roman" w:cstheme="minorHAnsi"/>
                <w:i/>
                <w:noProof/>
                <w:color w:val="000000"/>
                <w:lang w:val="es-ES_tradnl" w:eastAsia="es-ES"/>
              </w:rPr>
              <w:t>El Reglamento General de Protección de Datos: un enfoque nacional y comparado. Especial referencia a la LO 3/2018 de Protección de Datos y garantía de los derechos digitales</w:t>
            </w:r>
            <w:r w:rsidRPr="00BD2090">
              <w:rPr>
                <w:rFonts w:eastAsia="Times New Roman" w:cstheme="minorHAnsi"/>
                <w:noProof/>
                <w:color w:val="000000"/>
                <w:lang w:val="es-ES_tradnl" w:eastAsia="es-ES"/>
              </w:rPr>
              <w:t>, Tirant lo Blanch, Valencia, 2019.</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-Capítulo de libro. “</w:t>
            </w:r>
            <w:r w:rsidRPr="00BD2090">
              <w:rPr>
                <w:rFonts w:eastAsia="Times New Roman" w:cstheme="minorHAnsi"/>
                <w:b/>
                <w:noProof/>
                <w:color w:val="000000"/>
                <w:lang w:val="es-ES_tradnl" w:eastAsia="es-ES"/>
              </w:rPr>
              <w:t>Obtención y reutilización de información tributaria de carácter personal de Juzgados y Tribunales</w:t>
            </w:r>
            <w:r w:rsidRPr="00BD2090">
              <w:rPr>
                <w:rFonts w:eastAsia="Times New Roman" w:cstheme="minorHAnsi"/>
                <w:noProof/>
                <w:color w:val="000000"/>
                <w:lang w:val="es-ES_tradnl" w:eastAsia="es-ES"/>
              </w:rPr>
              <w:t xml:space="preserve">” Fernández Salmerón M. y </w:t>
            </w:r>
            <w:r w:rsidRPr="00BD2090">
              <w:rPr>
                <w:rFonts w:eastAsia="Times New Roman" w:cstheme="minorHAnsi"/>
                <w:noProof/>
                <w:color w:val="000000"/>
                <w:lang w:val="es-ES_tradnl" w:eastAsia="es-ES"/>
              </w:rPr>
              <w:lastRenderedPageBreak/>
              <w:t>Gomez Manresa F. M. (coordinadores), Modernización digital e innovación de la administración de justicia, Thomson-Reuters Aranzadi, Cizur Menor, 2019.</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-Capítulo de libro. “</w:t>
            </w:r>
            <w:r w:rsidRPr="00BD2090">
              <w:rPr>
                <w:rFonts w:eastAsia="Times New Roman" w:cstheme="minorHAnsi"/>
                <w:b/>
                <w:noProof/>
                <w:color w:val="000000"/>
                <w:lang w:val="es-ES_tradnl" w:eastAsia="es-ES"/>
              </w:rPr>
              <w:t>El tratamiento de la información personal en la lucha contra el fraude fiscal: Alcance en España de la STJUE de 27 de septiembre de 2017, Peter Puškár contra la Dirección de Tributos de la República Eslovaca”,</w:t>
            </w:r>
            <w:r w:rsidRPr="00BD2090">
              <w:rPr>
                <w:rFonts w:cstheme="minorHAnsi"/>
              </w:rPr>
              <w:t xml:space="preserve"> </w:t>
            </w:r>
            <w:r w:rsidRPr="00BD2090">
              <w:rPr>
                <w:rFonts w:eastAsia="Times New Roman" w:cstheme="minorHAnsi"/>
                <w:noProof/>
                <w:color w:val="000000"/>
                <w:lang w:val="es-ES_tradnl" w:eastAsia="es-ES"/>
              </w:rPr>
              <w:t xml:space="preserve">Albert Ruda González  (coordinador), </w:t>
            </w: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Estudios sobre Jurisprudencia Europea, Materiales del III Encuentro anual del Centro español del European Law Institute, Sepin, Madrid, 2019.</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val="es-ES_tradnl" w:eastAsia="es-ES"/>
              </w:rPr>
            </w:pPr>
            <w:r w:rsidRPr="00BD2090">
              <w:rPr>
                <w:rFonts w:eastAsia="Times New Roman" w:cstheme="minorHAnsi"/>
                <w:noProof/>
                <w:color w:val="000000"/>
                <w:lang w:val="es-ES_tradnl" w:eastAsia="es-ES"/>
              </w:rPr>
              <w:t>-Capítulo de libro. “</w:t>
            </w:r>
            <w:r w:rsidRPr="00BD2090">
              <w:rPr>
                <w:rFonts w:eastAsia="Times New Roman" w:cstheme="minorHAnsi"/>
                <w:b/>
                <w:noProof/>
                <w:color w:val="000000"/>
                <w:lang w:val="es-ES_tradnl" w:eastAsia="es-ES"/>
              </w:rPr>
              <w:t>Administración Tributaria, transparencia y derecho de acceso a la información personal</w:t>
            </w:r>
            <w:r w:rsidRPr="00BD2090">
              <w:rPr>
                <w:rFonts w:eastAsia="Times New Roman" w:cstheme="minorHAnsi"/>
                <w:noProof/>
                <w:color w:val="000000"/>
                <w:lang w:val="es-ES_tradnl" w:eastAsia="es-ES"/>
              </w:rPr>
              <w:t>”, en Mariano Francisco Braccia  (coordinador), Tributación de la económica digital, La Ley, Buenos Aires, 2019 (pendiente de publicación).</w:t>
            </w:r>
          </w:p>
          <w:p w:rsidR="00316FE4" w:rsidRPr="00BD2090" w:rsidRDefault="00316FE4" w:rsidP="00316FE4">
            <w:pPr>
              <w:jc w:val="both"/>
              <w:rPr>
                <w:rFonts w:eastAsia="Times New Roman" w:cstheme="minorHAnsi"/>
                <w:noProof/>
                <w:color w:val="000000"/>
                <w:lang w:val="es-ES_tradnl" w:eastAsia="es-ES"/>
              </w:rPr>
            </w:pPr>
          </w:p>
          <w:p w:rsidR="00316FE4" w:rsidRPr="00BD2090" w:rsidRDefault="00316FE4" w:rsidP="00316FE4">
            <w:pPr>
              <w:jc w:val="both"/>
              <w:rPr>
                <w:rFonts w:eastAsia="Times New Roman" w:cstheme="minorHAnsi"/>
                <w:noProof/>
                <w:color w:val="000000"/>
                <w:lang w:eastAsia="es-ES"/>
              </w:rPr>
            </w:pPr>
            <w:r w:rsidRPr="00BD2090">
              <w:rPr>
                <w:rFonts w:eastAsia="Times New Roman" w:cstheme="minorHAnsi"/>
                <w:noProof/>
                <w:color w:val="000000"/>
                <w:lang w:val="en-GB" w:eastAsia="es-ES"/>
              </w:rPr>
              <w:t>-Artículo. “</w:t>
            </w:r>
            <w:r w:rsidRPr="00BD2090">
              <w:rPr>
                <w:rFonts w:eastAsia="Times New Roman" w:cstheme="minorHAnsi"/>
                <w:b/>
                <w:noProof/>
                <w:color w:val="000000"/>
                <w:lang w:val="en-GB" w:eastAsia="es-ES"/>
              </w:rPr>
              <w:t>The Impact of GDPR on European Name &amp; Shame Tax Defaulter Lists</w:t>
            </w:r>
            <w:r w:rsidRPr="00BD2090">
              <w:rPr>
                <w:rFonts w:eastAsia="Times New Roman" w:cstheme="minorHAnsi"/>
                <w:noProof/>
                <w:color w:val="000000"/>
                <w:lang w:val="en-GB" w:eastAsia="es-ES"/>
              </w:rPr>
              <w:t xml:space="preserve">”, </w:t>
            </w:r>
            <w:r w:rsidRPr="00BD2090">
              <w:rPr>
                <w:rFonts w:eastAsia="Times New Roman" w:cstheme="minorHAnsi"/>
                <w:i/>
                <w:noProof/>
                <w:color w:val="000000"/>
                <w:lang w:val="en-GB" w:eastAsia="es-ES"/>
              </w:rPr>
              <w:t>Computer Law &amp; Security Review</w:t>
            </w:r>
            <w:r w:rsidRPr="00BD2090">
              <w:rPr>
                <w:rFonts w:eastAsia="Times New Roman" w:cstheme="minorHAnsi"/>
                <w:noProof/>
                <w:color w:val="000000"/>
                <w:lang w:val="en-GB" w:eastAsia="es-ES"/>
              </w:rPr>
              <w:t xml:space="preserve">, 2019, ISSN 0267-3649. </w:t>
            </w:r>
            <w:r w:rsidRPr="00BD2090">
              <w:rPr>
                <w:rFonts w:eastAsia="Times New Roman" w:cstheme="minorHAnsi"/>
                <w:noProof/>
                <w:color w:val="000000"/>
                <w:lang w:eastAsia="es-ES"/>
              </w:rPr>
              <w:t xml:space="preserve">Revista indexada en </w:t>
            </w:r>
            <w:r w:rsidRPr="00BD2090">
              <w:rPr>
                <w:rFonts w:eastAsia="Times New Roman" w:cstheme="minorHAnsi"/>
                <w:b/>
                <w:i/>
                <w:noProof/>
                <w:color w:val="000000"/>
                <w:lang w:eastAsia="es-ES"/>
              </w:rPr>
              <w:t>Journal Citation Reports</w:t>
            </w:r>
            <w:r w:rsidRPr="00BD2090">
              <w:rPr>
                <w:rFonts w:eastAsia="Times New Roman" w:cstheme="minorHAnsi"/>
                <w:noProof/>
                <w:color w:val="000000"/>
                <w:lang w:eastAsia="es-ES"/>
              </w:rPr>
              <w:t xml:space="preserve">, </w:t>
            </w:r>
            <w:r w:rsidRPr="00BD2090">
              <w:rPr>
                <w:rFonts w:eastAsia="Times New Roman" w:cstheme="minorHAnsi"/>
                <w:b/>
                <w:noProof/>
                <w:color w:val="000000"/>
                <w:lang w:eastAsia="es-ES"/>
              </w:rPr>
              <w:t xml:space="preserve">Q2 </w:t>
            </w:r>
            <w:r w:rsidRPr="00BD2090">
              <w:rPr>
                <w:rFonts w:eastAsia="Times New Roman" w:cstheme="minorHAnsi"/>
                <w:noProof/>
                <w:color w:val="000000"/>
                <w:lang w:eastAsia="es-ES"/>
              </w:rPr>
              <w:t>(artículo aceptado, pendiente de publicación).</w:t>
            </w:r>
          </w:p>
          <w:p w:rsidR="001D7F79" w:rsidRDefault="001D7F79" w:rsidP="006E5F82"/>
        </w:tc>
      </w:tr>
      <w:tr w:rsidR="001D7F79" w:rsidTr="00BD2090">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BD2090" w:rsidP="00BD2090">
            <w:pPr>
              <w:jc w:val="both"/>
            </w:pPr>
            <w:r>
              <w:t>Consultor en materia de protección de datos, blanqueo de capitales y derecho tributario (comercio electrónico y fiscalidad).</w:t>
            </w:r>
          </w:p>
        </w:tc>
      </w:tr>
    </w:tbl>
    <w:p w:rsidR="00EF2C9D" w:rsidRDefault="00EF2C9D"/>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14" w:rsidRDefault="00304814" w:rsidP="001D7F79">
      <w:pPr>
        <w:spacing w:after="0" w:line="240" w:lineRule="auto"/>
      </w:pPr>
      <w:r>
        <w:separator/>
      </w:r>
    </w:p>
  </w:endnote>
  <w:endnote w:type="continuationSeparator" w:id="0">
    <w:p w:rsidR="00304814" w:rsidRDefault="00304814"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14" w:rsidRDefault="00304814" w:rsidP="001D7F79">
      <w:pPr>
        <w:spacing w:after="0" w:line="240" w:lineRule="auto"/>
      </w:pPr>
      <w:r>
        <w:separator/>
      </w:r>
    </w:p>
  </w:footnote>
  <w:footnote w:type="continuationSeparator" w:id="0">
    <w:p w:rsidR="00304814" w:rsidRDefault="00304814"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0D7A4B"/>
    <w:rsid w:val="000E70D1"/>
    <w:rsid w:val="00111DFA"/>
    <w:rsid w:val="001139AD"/>
    <w:rsid w:val="0012179E"/>
    <w:rsid w:val="00126A29"/>
    <w:rsid w:val="00191B18"/>
    <w:rsid w:val="001B272D"/>
    <w:rsid w:val="001D5804"/>
    <w:rsid w:val="001D7F79"/>
    <w:rsid w:val="002726C7"/>
    <w:rsid w:val="002E0289"/>
    <w:rsid w:val="00304814"/>
    <w:rsid w:val="00316FE4"/>
    <w:rsid w:val="003A369F"/>
    <w:rsid w:val="00450F8E"/>
    <w:rsid w:val="004D76B6"/>
    <w:rsid w:val="00506DA3"/>
    <w:rsid w:val="0055671E"/>
    <w:rsid w:val="00565198"/>
    <w:rsid w:val="005822F4"/>
    <w:rsid w:val="005B38F9"/>
    <w:rsid w:val="006A0346"/>
    <w:rsid w:val="006E5F82"/>
    <w:rsid w:val="007579F8"/>
    <w:rsid w:val="00760D07"/>
    <w:rsid w:val="00780D55"/>
    <w:rsid w:val="00863858"/>
    <w:rsid w:val="008668FB"/>
    <w:rsid w:val="00974CD4"/>
    <w:rsid w:val="00990AA2"/>
    <w:rsid w:val="00A817B5"/>
    <w:rsid w:val="00AA6974"/>
    <w:rsid w:val="00B32F6A"/>
    <w:rsid w:val="00BD2090"/>
    <w:rsid w:val="00BF0367"/>
    <w:rsid w:val="00CC3283"/>
    <w:rsid w:val="00E12336"/>
    <w:rsid w:val="00EF2C9D"/>
    <w:rsid w:val="00F12F70"/>
    <w:rsid w:val="00F249AD"/>
    <w:rsid w:val="00F36336"/>
    <w:rsid w:val="00F46039"/>
    <w:rsid w:val="00F77EB7"/>
    <w:rsid w:val="00F8414E"/>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styleId="Hipervnculo">
    <w:name w:val="Hyperlink"/>
    <w:basedOn w:val="Fuentedeprrafopredeter"/>
    <w:uiPriority w:val="99"/>
    <w:unhideWhenUsed/>
    <w:rsid w:val="00316F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styleId="Hipervnculo">
    <w:name w:val="Hyperlink"/>
    <w:basedOn w:val="Fuentedeprrafopredeter"/>
    <w:uiPriority w:val="99"/>
    <w:unhideWhenUsed/>
    <w:rsid w:val="00316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x.doi.org/10.1016/j.clsr.2017.11.012"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4</cp:revision>
  <dcterms:created xsi:type="dcterms:W3CDTF">2019-04-23T10:06:00Z</dcterms:created>
  <dcterms:modified xsi:type="dcterms:W3CDTF">2019-06-20T14:22:00Z</dcterms:modified>
</cp:coreProperties>
</file>